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wordWrap w:val="0"/>
        <w:adjustRightInd/>
        <w:snapToGrid/>
        <w:spacing w:line="24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7个重点品种养殖场（户）名录</w:t>
      </w:r>
    </w:p>
    <w:p>
      <w:pPr>
        <w:widowControl w:val="0"/>
        <w:spacing w:before="0" w:beforeAutospacing="0" w:after="0" w:afterAutospacing="0"/>
        <w:ind w:left="0" w:leftChars="0" w:firstLine="0" w:firstLineChars="0"/>
        <w:jc w:val="left"/>
        <w:outlineLvl w:val="1"/>
        <w:rPr>
          <w:rFonts w:hint="default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填报单位：                                                                              填报时间：</w:t>
      </w:r>
    </w:p>
    <w:tbl>
      <w:tblPr>
        <w:tblStyle w:val="9"/>
        <w:tblW w:w="1404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811"/>
        <w:gridCol w:w="811"/>
        <w:gridCol w:w="811"/>
        <w:gridCol w:w="720"/>
        <w:gridCol w:w="902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36" w:type="dxa"/>
            <w:vAlign w:val="center"/>
          </w:tcPr>
          <w:p>
            <w:pPr>
              <w:widowControl w:val="0"/>
              <w:tabs>
                <w:tab w:val="left" w:pos="0"/>
              </w:tabs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县（区）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养殖主体名称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主体类型</w:t>
            </w: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养殖品种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养殖方式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养殖规模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投苗时间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预计首次上市时间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监管员姓名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协管员姓名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300" w:lineRule="exact"/>
              <w:ind w:left="-31" w:leftChars="-15" w:right="-31" w:rightChars="-15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600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 xml:space="preserve">1.养殖方式包括池塘养殖、工厂化养殖、网箱养殖、大水面养殖（湖泊、水库、河沟等）、其他；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400" w:lineRule="exact"/>
        <w:ind w:left="0" w:leftChars="0" w:firstLine="799" w:firstLineChars="333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2.养殖规模单位根据养殖方式确定、池塘养殖、大水面养殖为亩、网箱养殖为平方米、工厂化养殖为立方米；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Autospacing="0" w:after="0" w:afterAutospacing="0" w:line="400" w:lineRule="exact"/>
        <w:ind w:left="0" w:leftChars="0" w:firstLine="799" w:firstLineChars="333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3.县（区）名称不可缩写，时间格式为2000/1/1。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0" w:leftChars="0" w:firstLine="568" w:firstLineChars="237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4.同一养殖主体有多个重点治理品种的需分别填写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4"/>
          <w:lang w:val="en-US" w:eastAsia="zh-CN"/>
        </w:rPr>
        <w:t>。</w:t>
      </w:r>
    </w:p>
    <w:p>
      <w:pPr>
        <w:widowControl w:val="0"/>
        <w:wordWrap/>
        <w:overflowPunct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水产养殖重点品种药物残留突出问题</w:t>
      </w:r>
    </w:p>
    <w:p>
      <w:pPr>
        <w:widowControl w:val="0"/>
        <w:wordWrap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攻坚治理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工作机制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</w:rPr>
      </w:pPr>
    </w:p>
    <w:p>
      <w:pPr>
        <w:widowControl w:val="0"/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0"/>
          <w:sz w:val="32"/>
          <w:szCs w:val="32"/>
        </w:rPr>
        <w:t>一、领导小组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组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长：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刘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海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市农业农村局副局长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副组长：张选武  市农业农村局副县级干部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成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员：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郭荣华  市农业综合行政执法支队支队长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1920" w:firstLineChars="600"/>
        <w:textAlignment w:val="auto"/>
        <w:rPr>
          <w:rFonts w:hint="eastAsia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姚盛涛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农产品质量安全监管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科负责人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黄  河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渔业渔政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科负责人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刘  勇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法规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科负责人</w:t>
      </w:r>
    </w:p>
    <w:p>
      <w:pPr>
        <w:widowControl w:val="0"/>
        <w:wordWrap/>
        <w:overflowPunct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default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娄秀伟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农产品质量安全监督检验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检测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中心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负责人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金  艳  市渔业渔政管理站负责人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帅润祥  市水产站站长</w:t>
      </w:r>
    </w:p>
    <w:p>
      <w:pPr>
        <w:widowControl w:val="0"/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职责：负责贯彻落实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省农业农村厅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关于水产养殖重点品种药物残留突出问题攻坚治理工作部署，安排全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水产养殖重点品种药物残留突出问题攻坚治理行动，统筹协调、推动解决重大问题，定期听取各成员单位工作汇报，督促各项任务落实落地。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  <w:t>二、领导小组办公室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主任：</w:t>
      </w:r>
      <w:r>
        <w:rPr>
          <w:rFonts w:hint="eastAsia" w:eastAsia="仿宋_GB2312" w:cs="仿宋_GB2312"/>
          <w:spacing w:val="0"/>
          <w:sz w:val="32"/>
          <w:szCs w:val="32"/>
          <w:lang w:val="en-US" w:eastAsia="zh-CN"/>
        </w:rPr>
        <w:t>姚盛涛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农产品质量安全监管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科负责人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成员：由领导小组各成员单位有关负责人担任</w:t>
      </w:r>
    </w:p>
    <w:p>
      <w:pPr>
        <w:widowControl w:val="0"/>
        <w:numPr>
          <w:ilvl w:val="0"/>
          <w:numId w:val="0"/>
        </w:numPr>
        <w:wordWrap/>
        <w:overflowPunct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职责：领导小组办公室设在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农安</w:t>
      </w:r>
      <w:r>
        <w:rPr>
          <w:rFonts w:hint="eastAsia" w:eastAsia="仿宋_GB2312" w:cs="仿宋_GB2312"/>
          <w:spacing w:val="0"/>
          <w:sz w:val="32"/>
          <w:szCs w:val="32"/>
          <w:lang w:eastAsia="zh-CN"/>
        </w:rPr>
        <w:t>科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负责水产养殖重点品种药物残留突出问题攻坚治理日常工作，建立实施情况调度、通报和督办机制，协调解决工作推进中的具体问题，督促各地区、各单位抓好工作落实，并按照领导小组要求和攻坚治理方案开展治理行动，及时向领导小组报告工作进展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7个重点品种治理包片指导分组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17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包片市（州）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局农安科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关岭自治县、黄果树</w:t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市农业综合行政执法支队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普定县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局渔业渔政科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镇宁自治县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局法规科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市农检中心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紫云自治县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市渔业渔政管理站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/>
              <w:jc w:val="center"/>
              <w:textAlignment w:val="auto"/>
              <w:outlineLvl w:val="1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安顺经开区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7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/>
              <w:jc w:val="center"/>
              <w:textAlignment w:val="auto"/>
              <w:outlineLvl w:val="1"/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市水产站</w:t>
            </w:r>
          </w:p>
        </w:tc>
        <w:tc>
          <w:tcPr>
            <w:tcW w:w="35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04" w:lineRule="exact"/>
              <w:ind w:left="0" w:leftChars="0"/>
              <w:jc w:val="center"/>
              <w:textAlignment w:val="auto"/>
              <w:outlineLvl w:val="1"/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平坝区</w:t>
            </w:r>
          </w:p>
        </w:tc>
      </w:tr>
    </w:tbl>
    <w:p/>
    <w:p>
      <w:pPr>
        <w:pStyle w:val="2"/>
      </w:pPr>
      <w:bookmarkStart w:id="0" w:name="_GoBack"/>
      <w:bookmarkEnd w:id="0"/>
    </w:p>
    <w:p/>
    <w:p>
      <w:pPr>
        <w:pStyle w:val="2"/>
      </w:pPr>
    </w:p>
    <w:p/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直接连接符 5" o:spid="_x0000_s1064" o:spt="20" style="position:absolute;left:0pt;margin-left:0pt;margin-top:0pt;height:0.05pt;width:438.1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0.7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直接连接符 4" o:spid="_x0000_s1065" o:spt="20" style="position:absolute;left:0pt;margin-top:550.05pt;height:0.05pt;width:0.05pt;mso-position-horizontal:center;mso-position-horizontal-relative:margin;mso-position-vertical-relative:margin;z-index:2516623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安顺市农业农村局办公室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2024年6月11日</w:t>
      </w:r>
      <w:r>
        <w:rPr>
          <w:rFonts w:hint="eastAsia" w:ascii="仿宋_GB2312" w:eastAsia="仿宋_GB2312"/>
          <w:sz w:val="28"/>
          <w:szCs w:val="28"/>
        </w:rPr>
        <w:t>印发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480" w:lineRule="exact"/>
        <w:ind w:firstLine="4109" w:firstLineChars="1957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直接连接符 7" o:spid="_x0000_s1066" o:spt="20" style="position:absolute;left:0pt;margin-left:0pt;margin-top:0pt;height:0.05pt;width:438.1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sz w:val="28"/>
          <w:szCs w:val="28"/>
        </w:rPr>
        <w:t>共印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份（其中电子公文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份）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Times New Roman" w:hAnsi="Times New Roman" w:eastAsia="宋体" w:cs="Times New Roman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rect id="文本框 3" o:spid="_x0000_s2050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7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rect id="文本框 2" o:spid="_x0000_s2051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TI1ZWJmNGNiOTBlNjE3MDA2NzYwYTA4NzY1OGMifQ=="/>
  </w:docVars>
  <w:rsids>
    <w:rsidRoot w:val="7C841793"/>
    <w:rsid w:val="28E30421"/>
    <w:rsid w:val="4B954706"/>
    <w:rsid w:val="7C841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36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hint="eastAsia" w:ascii="Arial" w:hAnsi="Arial" w:eastAsia="宋体" w:cs="Times New Roman"/>
      <w:b/>
      <w:kern w:val="2"/>
      <w:sz w:val="32"/>
      <w:lang w:val="en-US" w:eastAsia="zh-CN" w:bidi="ar-SA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Normal1"/>
    <w:qFormat/>
    <w:uiPriority w:val="99"/>
    <w:pPr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1064"/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2054</Words>
  <Characters>2198</Characters>
  <Lines>94</Lines>
  <Paragraphs>24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2022-02-24T09:37:00Z</dcterms:created>
  <dc:creator>罗杰</dc:creator>
  <cp:lastModifiedBy>ICE</cp:lastModifiedBy>
  <dcterms:modified xsi:type="dcterms:W3CDTF">2024-06-19T07:26:07Z</dcterms:modified>
  <dc:title>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B412C62A3ACB4F56B9F96B6EE5666A1B_13</vt:lpwstr>
  </property>
</Properties>
</file>